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DC9F1" w14:textId="77777777" w:rsidR="00F27597" w:rsidRDefault="00E85042" w:rsidP="004F755E">
      <w:pPr>
        <w:pStyle w:val="NormalWeb"/>
        <w:spacing w:before="0" w:beforeAutospacing="0" w:after="160" w:afterAutospacing="0"/>
        <w:rPr>
          <w:rFonts w:ascii="Calibri" w:hAnsi="Calibri" w:cs="Calibri"/>
          <w:b/>
          <w:sz w:val="96"/>
          <w:szCs w:val="96"/>
        </w:rPr>
      </w:pPr>
      <w:r w:rsidRPr="00F27597">
        <w:rPr>
          <w:rFonts w:ascii="Calibri" w:hAnsi="Calibri" w:cs="Calibri"/>
          <w:b/>
          <w:sz w:val="96"/>
          <w:szCs w:val="96"/>
        </w:rPr>
        <w:t>Leading in Learning</w:t>
      </w:r>
    </w:p>
    <w:p w14:paraId="63461F0D" w14:textId="5866255E" w:rsidR="00E85042" w:rsidRPr="00E85042" w:rsidRDefault="008B7CD8" w:rsidP="004F755E">
      <w:pPr>
        <w:pStyle w:val="NormalWeb"/>
        <w:spacing w:before="0" w:beforeAutospacing="0" w:after="160" w:afterAutospacing="0"/>
        <w:rPr>
          <w:rFonts w:ascii="Calibri" w:hAnsi="Calibri" w:cs="Calibri"/>
          <w:b/>
          <w:sz w:val="36"/>
          <w:szCs w:val="36"/>
        </w:rPr>
      </w:pPr>
      <w:r w:rsidRPr="00F27597">
        <w:rPr>
          <w:rFonts w:ascii="Calibri" w:hAnsi="Calibri" w:cs="Calibri"/>
          <w:b/>
          <w:sz w:val="36"/>
          <w:szCs w:val="36"/>
        </w:rPr>
        <w:t xml:space="preserve">Lunchtime </w:t>
      </w:r>
      <w:r w:rsidR="0084190F" w:rsidRPr="00F27597">
        <w:rPr>
          <w:rFonts w:ascii="Calibri" w:hAnsi="Calibri" w:cs="Calibri"/>
          <w:b/>
          <w:sz w:val="36"/>
          <w:szCs w:val="36"/>
        </w:rPr>
        <w:t>Seminar</w:t>
      </w:r>
      <w:r w:rsidR="00F27597">
        <w:rPr>
          <w:rFonts w:ascii="Calibri" w:hAnsi="Calibri" w:cs="Calibri"/>
          <w:b/>
          <w:sz w:val="36"/>
          <w:szCs w:val="36"/>
        </w:rPr>
        <w:t xml:space="preserve">, </w:t>
      </w:r>
      <w:r w:rsidR="00E85042">
        <w:rPr>
          <w:rFonts w:ascii="Calibri" w:hAnsi="Calibri" w:cs="Calibri"/>
          <w:b/>
          <w:sz w:val="36"/>
          <w:szCs w:val="36"/>
        </w:rPr>
        <w:t>Warrington</w:t>
      </w:r>
      <w:r w:rsidR="00EB404A">
        <w:rPr>
          <w:rFonts w:ascii="Calibri" w:hAnsi="Calibri" w:cs="Calibri"/>
          <w:b/>
          <w:sz w:val="36"/>
          <w:szCs w:val="36"/>
        </w:rPr>
        <w:t xml:space="preserve"> Gateway, 85-101 Sankey Street, Warrington Wa1 1SR</w:t>
      </w:r>
      <w:r w:rsidR="00E85042">
        <w:rPr>
          <w:rFonts w:ascii="Calibri" w:hAnsi="Calibri" w:cs="Calibri"/>
          <w:b/>
          <w:sz w:val="36"/>
          <w:szCs w:val="36"/>
        </w:rPr>
        <w:t xml:space="preserve">, </w:t>
      </w:r>
      <w:r w:rsidR="00BC2F12">
        <w:rPr>
          <w:rFonts w:ascii="Calibri" w:hAnsi="Calibri" w:cs="Calibri"/>
          <w:b/>
          <w:sz w:val="36"/>
          <w:szCs w:val="36"/>
        </w:rPr>
        <w:t>27th</w:t>
      </w:r>
      <w:r>
        <w:rPr>
          <w:rFonts w:ascii="Calibri" w:hAnsi="Calibri" w:cs="Calibri"/>
          <w:b/>
          <w:sz w:val="36"/>
          <w:szCs w:val="36"/>
        </w:rPr>
        <w:t xml:space="preserve"> March 2017</w:t>
      </w:r>
      <w:r w:rsidR="00F27597">
        <w:rPr>
          <w:rFonts w:ascii="Calibri" w:hAnsi="Calibri" w:cs="Calibri"/>
          <w:b/>
          <w:sz w:val="36"/>
          <w:szCs w:val="36"/>
        </w:rPr>
        <w:t>, N</w:t>
      </w:r>
      <w:r w:rsidR="00EB404A">
        <w:rPr>
          <w:rFonts w:ascii="Calibri" w:hAnsi="Calibri" w:cs="Calibri"/>
          <w:b/>
          <w:sz w:val="36"/>
          <w:szCs w:val="36"/>
        </w:rPr>
        <w:t>oon-3.15pm</w:t>
      </w:r>
    </w:p>
    <w:p w14:paraId="267B6930" w14:textId="7F14C69F" w:rsidR="00E85042" w:rsidRPr="002C78D6" w:rsidRDefault="00E85042" w:rsidP="004F755E">
      <w:pPr>
        <w:pStyle w:val="NormalWeb"/>
        <w:spacing w:before="0" w:beforeAutospacing="0" w:after="160" w:afterAutospacing="0"/>
        <w:rPr>
          <w:rFonts w:ascii="Calibri" w:hAnsi="Calibri" w:cs="Calibri"/>
          <w:sz w:val="26"/>
          <w:szCs w:val="26"/>
        </w:rPr>
      </w:pPr>
      <w:r w:rsidRPr="002C78D6">
        <w:rPr>
          <w:rFonts w:ascii="Calibri" w:hAnsi="Calibri" w:cs="Calibri"/>
          <w:sz w:val="26"/>
          <w:szCs w:val="26"/>
        </w:rPr>
        <w:t xml:space="preserve">This </w:t>
      </w:r>
      <w:r w:rsidR="00F27597">
        <w:rPr>
          <w:rFonts w:ascii="Calibri" w:hAnsi="Calibri" w:cs="Calibri"/>
          <w:sz w:val="26"/>
          <w:szCs w:val="26"/>
        </w:rPr>
        <w:t xml:space="preserve">free </w:t>
      </w:r>
      <w:r w:rsidRPr="002C78D6">
        <w:rPr>
          <w:rFonts w:ascii="Calibri" w:hAnsi="Calibri" w:cs="Calibri"/>
          <w:sz w:val="26"/>
          <w:szCs w:val="26"/>
        </w:rPr>
        <w:t xml:space="preserve">lunchtime workshop is </w:t>
      </w:r>
      <w:r w:rsidR="002C78D6" w:rsidRPr="002C78D6">
        <w:rPr>
          <w:rFonts w:ascii="Calibri" w:hAnsi="Calibri" w:cs="Calibri"/>
          <w:sz w:val="26"/>
          <w:szCs w:val="26"/>
        </w:rPr>
        <w:t>for</w:t>
      </w:r>
      <w:r w:rsidRPr="002C78D6">
        <w:rPr>
          <w:rFonts w:ascii="Calibri" w:hAnsi="Calibri" w:cs="Calibri"/>
          <w:sz w:val="26"/>
          <w:szCs w:val="26"/>
        </w:rPr>
        <w:t xml:space="preserve"> </w:t>
      </w:r>
      <w:r w:rsidR="00C72BBE" w:rsidRPr="002C78D6">
        <w:rPr>
          <w:rFonts w:ascii="Calibri" w:hAnsi="Calibri" w:cs="Calibri"/>
          <w:sz w:val="26"/>
          <w:szCs w:val="26"/>
        </w:rPr>
        <w:t>Trustees</w:t>
      </w:r>
      <w:r w:rsidRPr="002C78D6">
        <w:rPr>
          <w:rFonts w:ascii="Calibri" w:hAnsi="Calibri" w:cs="Calibri"/>
          <w:sz w:val="26"/>
          <w:szCs w:val="26"/>
        </w:rPr>
        <w:t xml:space="preserve"> and Leaders of V</w:t>
      </w:r>
      <w:r w:rsidR="008B7CD8" w:rsidRPr="002C78D6">
        <w:rPr>
          <w:rFonts w:ascii="Calibri" w:hAnsi="Calibri" w:cs="Calibri"/>
          <w:sz w:val="26"/>
          <w:szCs w:val="26"/>
        </w:rPr>
        <w:t xml:space="preserve">oluntary, </w:t>
      </w:r>
      <w:r w:rsidRPr="002C78D6">
        <w:rPr>
          <w:rFonts w:ascii="Calibri" w:hAnsi="Calibri" w:cs="Calibri"/>
          <w:sz w:val="26"/>
          <w:szCs w:val="26"/>
        </w:rPr>
        <w:t>C</w:t>
      </w:r>
      <w:r w:rsidR="008B7CD8" w:rsidRPr="002C78D6">
        <w:rPr>
          <w:rFonts w:ascii="Calibri" w:hAnsi="Calibri" w:cs="Calibri"/>
          <w:sz w:val="26"/>
          <w:szCs w:val="26"/>
        </w:rPr>
        <w:t xml:space="preserve">ommunity and Social Enterprise </w:t>
      </w:r>
      <w:r w:rsidR="00EB1410" w:rsidRPr="002C78D6">
        <w:rPr>
          <w:rFonts w:ascii="Calibri" w:hAnsi="Calibri" w:cs="Calibri"/>
          <w:sz w:val="26"/>
          <w:szCs w:val="26"/>
        </w:rPr>
        <w:t xml:space="preserve">(VCSE) </w:t>
      </w:r>
      <w:r w:rsidRPr="002C78D6">
        <w:rPr>
          <w:rFonts w:ascii="Calibri" w:hAnsi="Calibri" w:cs="Calibri"/>
          <w:sz w:val="26"/>
          <w:szCs w:val="26"/>
        </w:rPr>
        <w:t>training and learning providers</w:t>
      </w:r>
      <w:r w:rsidR="008B7CD8" w:rsidRPr="002C78D6">
        <w:rPr>
          <w:rFonts w:ascii="Calibri" w:hAnsi="Calibri" w:cs="Calibri"/>
          <w:sz w:val="26"/>
          <w:szCs w:val="26"/>
        </w:rPr>
        <w:t xml:space="preserve"> </w:t>
      </w:r>
      <w:r w:rsidRPr="002C78D6">
        <w:rPr>
          <w:rFonts w:ascii="Calibri" w:hAnsi="Calibri" w:cs="Calibri"/>
          <w:sz w:val="26"/>
          <w:szCs w:val="26"/>
        </w:rPr>
        <w:t xml:space="preserve">operating in the North West of England. </w:t>
      </w:r>
    </w:p>
    <w:p w14:paraId="5303C104" w14:textId="524A9A0F" w:rsidR="004F755E" w:rsidRPr="002C78D6" w:rsidRDefault="00E85042" w:rsidP="004F755E">
      <w:pPr>
        <w:pStyle w:val="NormalWeb"/>
        <w:spacing w:before="0" w:beforeAutospacing="0" w:after="160" w:afterAutospacing="0"/>
        <w:rPr>
          <w:rFonts w:asciiTheme="minorHAnsi" w:hAnsiTheme="minorHAnsi" w:cstheme="minorHAnsi"/>
          <w:sz w:val="26"/>
          <w:szCs w:val="26"/>
        </w:rPr>
      </w:pPr>
      <w:r w:rsidRPr="002C78D6">
        <w:rPr>
          <w:rFonts w:asciiTheme="minorHAnsi" w:hAnsiTheme="minorHAnsi" w:cstheme="minorHAnsi"/>
          <w:sz w:val="26"/>
          <w:szCs w:val="26"/>
        </w:rPr>
        <w:t xml:space="preserve">The </w:t>
      </w:r>
      <w:r w:rsidR="002C78D6" w:rsidRPr="002C78D6">
        <w:rPr>
          <w:rFonts w:asciiTheme="minorHAnsi" w:hAnsiTheme="minorHAnsi" w:cstheme="minorHAnsi"/>
          <w:sz w:val="26"/>
          <w:szCs w:val="26"/>
        </w:rPr>
        <w:t>aim</w:t>
      </w:r>
      <w:r w:rsidRPr="002C78D6">
        <w:rPr>
          <w:rFonts w:asciiTheme="minorHAnsi" w:hAnsiTheme="minorHAnsi" w:cstheme="minorHAnsi"/>
          <w:sz w:val="26"/>
          <w:szCs w:val="26"/>
        </w:rPr>
        <w:t xml:space="preserve"> is to provid</w:t>
      </w:r>
      <w:r w:rsidR="00FD76D2" w:rsidRPr="002C78D6">
        <w:rPr>
          <w:rFonts w:asciiTheme="minorHAnsi" w:hAnsiTheme="minorHAnsi" w:cstheme="minorHAnsi"/>
          <w:sz w:val="26"/>
          <w:szCs w:val="26"/>
        </w:rPr>
        <w:t xml:space="preserve">e a legal and policy </w:t>
      </w:r>
      <w:r w:rsidR="00F27597">
        <w:rPr>
          <w:rFonts w:asciiTheme="minorHAnsi" w:hAnsiTheme="minorHAnsi" w:cstheme="minorHAnsi"/>
          <w:sz w:val="26"/>
          <w:szCs w:val="26"/>
        </w:rPr>
        <w:t>overview</w:t>
      </w:r>
      <w:r w:rsidR="0084190F" w:rsidRPr="002C78D6">
        <w:rPr>
          <w:rFonts w:asciiTheme="minorHAnsi" w:hAnsiTheme="minorHAnsi" w:cstheme="minorHAnsi"/>
          <w:sz w:val="26"/>
          <w:szCs w:val="26"/>
        </w:rPr>
        <w:t xml:space="preserve"> in order to inform effective leadership and governance. </w:t>
      </w:r>
    </w:p>
    <w:p w14:paraId="2D1E29B3" w14:textId="77777777" w:rsidR="0084190F" w:rsidRPr="002C78D6" w:rsidRDefault="0084190F" w:rsidP="0084190F">
      <w:pPr>
        <w:pStyle w:val="NormalWeb"/>
        <w:spacing w:before="0" w:beforeAutospacing="0" w:after="160" w:afterAutospacing="0"/>
        <w:rPr>
          <w:rFonts w:ascii="Calibri" w:hAnsi="Calibri" w:cs="Calibri"/>
          <w:sz w:val="26"/>
          <w:szCs w:val="26"/>
        </w:rPr>
      </w:pPr>
      <w:r w:rsidRPr="002C78D6">
        <w:rPr>
          <w:rFonts w:ascii="Calibri" w:hAnsi="Calibri" w:cs="Calibri"/>
          <w:sz w:val="26"/>
          <w:szCs w:val="26"/>
        </w:rPr>
        <w:t>This is a partnership event between VSNW, the NW Association of Colleges, and Bates Wells &amp; Braithwaite consultancy and legal practice.</w:t>
      </w:r>
    </w:p>
    <w:p w14:paraId="0CE36757" w14:textId="62A355FC" w:rsidR="00E85042" w:rsidRDefault="00E85042" w:rsidP="004F755E">
      <w:pPr>
        <w:pStyle w:val="NormalWeb"/>
        <w:spacing w:before="0" w:beforeAutospacing="0" w:after="160" w:afterAutospacing="0"/>
        <w:rPr>
          <w:rFonts w:asciiTheme="minorHAnsi" w:hAnsiTheme="minorHAnsi" w:cstheme="minorHAnsi"/>
        </w:rPr>
      </w:pPr>
    </w:p>
    <w:p w14:paraId="2C0A61DE" w14:textId="1D222B07" w:rsidR="00C72BBE" w:rsidRPr="00C72BBE" w:rsidRDefault="00C72BBE" w:rsidP="004F755E">
      <w:pPr>
        <w:pStyle w:val="NormalWeb"/>
        <w:spacing w:before="0" w:beforeAutospacing="0" w:after="160" w:afterAutospacing="0"/>
        <w:rPr>
          <w:rFonts w:asciiTheme="minorHAnsi" w:hAnsiTheme="minorHAnsi" w:cstheme="minorHAnsi"/>
          <w:b/>
          <w:sz w:val="28"/>
          <w:szCs w:val="28"/>
        </w:rPr>
      </w:pPr>
      <w:r>
        <w:rPr>
          <w:rFonts w:asciiTheme="minorHAnsi" w:hAnsiTheme="minorHAnsi" w:cstheme="minorHAnsi"/>
          <w:b/>
          <w:sz w:val="28"/>
          <w:szCs w:val="28"/>
        </w:rPr>
        <w:t>Leading in Learning - Agenda</w:t>
      </w:r>
    </w:p>
    <w:p w14:paraId="25F0D525" w14:textId="718965D8" w:rsidR="00C72BBE" w:rsidRPr="00D53E19" w:rsidRDefault="00C72BBE" w:rsidP="004F755E">
      <w:pPr>
        <w:pStyle w:val="NormalWeb"/>
        <w:spacing w:before="0" w:beforeAutospacing="0" w:after="160" w:afterAutospacing="0"/>
        <w:rPr>
          <w:rFonts w:asciiTheme="minorHAnsi" w:hAnsiTheme="minorHAnsi" w:cstheme="minorHAnsi"/>
          <w:bCs/>
          <w:color w:val="000000"/>
          <w:lang w:val="en-GB" w:eastAsia="en-GB"/>
        </w:rPr>
      </w:pPr>
      <w:r w:rsidRPr="00D53E19">
        <w:rPr>
          <w:rFonts w:asciiTheme="minorHAnsi" w:hAnsiTheme="minorHAnsi" w:cstheme="minorHAnsi"/>
          <w:bCs/>
          <w:color w:val="000000"/>
          <w:lang w:val="en-GB" w:eastAsia="en-GB"/>
        </w:rPr>
        <w:t>12.00-</w:t>
      </w:r>
      <w:r w:rsidR="008E35F8">
        <w:rPr>
          <w:rFonts w:asciiTheme="minorHAnsi" w:hAnsiTheme="minorHAnsi" w:cstheme="minorHAnsi"/>
          <w:bCs/>
          <w:color w:val="000000"/>
          <w:lang w:val="en-GB" w:eastAsia="en-GB"/>
        </w:rPr>
        <w:tab/>
      </w:r>
      <w:r w:rsidRPr="00D53E19">
        <w:rPr>
          <w:rFonts w:asciiTheme="minorHAnsi" w:hAnsiTheme="minorHAnsi" w:cstheme="minorHAnsi"/>
          <w:bCs/>
          <w:color w:val="000000"/>
          <w:lang w:val="en-GB" w:eastAsia="en-GB"/>
        </w:rPr>
        <w:t>Lunch and networking</w:t>
      </w:r>
    </w:p>
    <w:p w14:paraId="1D0F605C" w14:textId="2346E38E" w:rsidR="00C72BBE" w:rsidRPr="00D53E19" w:rsidRDefault="00C72BBE" w:rsidP="004F755E">
      <w:pPr>
        <w:pStyle w:val="NormalWeb"/>
        <w:spacing w:before="0" w:beforeAutospacing="0" w:after="160" w:afterAutospacing="0"/>
        <w:rPr>
          <w:rFonts w:asciiTheme="minorHAnsi" w:hAnsiTheme="minorHAnsi" w:cstheme="minorHAnsi"/>
          <w:bCs/>
          <w:color w:val="000000"/>
          <w:lang w:val="en-GB" w:eastAsia="en-GB"/>
        </w:rPr>
      </w:pPr>
      <w:r w:rsidRPr="00D53E19">
        <w:rPr>
          <w:rFonts w:asciiTheme="minorHAnsi" w:hAnsiTheme="minorHAnsi" w:cstheme="minorHAnsi"/>
          <w:bCs/>
          <w:color w:val="000000"/>
          <w:lang w:val="en-GB" w:eastAsia="en-GB"/>
        </w:rPr>
        <w:t xml:space="preserve">12.30 </w:t>
      </w:r>
      <w:r w:rsidR="008E35F8">
        <w:rPr>
          <w:rFonts w:asciiTheme="minorHAnsi" w:hAnsiTheme="minorHAnsi" w:cstheme="minorHAnsi"/>
          <w:bCs/>
          <w:color w:val="000000"/>
          <w:lang w:val="en-GB" w:eastAsia="en-GB"/>
        </w:rPr>
        <w:tab/>
      </w:r>
      <w:r w:rsidRPr="00D53E19">
        <w:rPr>
          <w:rFonts w:asciiTheme="minorHAnsi" w:hAnsiTheme="minorHAnsi" w:cstheme="minorHAnsi"/>
          <w:bCs/>
          <w:color w:val="000000"/>
          <w:lang w:val="en-GB" w:eastAsia="en-GB"/>
        </w:rPr>
        <w:t>Welcome and introductions – Warren Escadale</w:t>
      </w:r>
      <w:r w:rsidR="00B3688F">
        <w:rPr>
          <w:rFonts w:asciiTheme="minorHAnsi" w:hAnsiTheme="minorHAnsi" w:cstheme="minorHAnsi"/>
          <w:bCs/>
          <w:color w:val="000000"/>
          <w:lang w:val="en-GB" w:eastAsia="en-GB"/>
        </w:rPr>
        <w:t xml:space="preserve">, </w:t>
      </w:r>
      <w:r w:rsidR="00B3688F" w:rsidRPr="00D53E19">
        <w:rPr>
          <w:rFonts w:asciiTheme="minorHAnsi" w:hAnsiTheme="minorHAnsi" w:cstheme="minorHAnsi"/>
        </w:rPr>
        <w:t>VSNW Chief Exe</w:t>
      </w:r>
      <w:r w:rsidR="00B3688F">
        <w:rPr>
          <w:rFonts w:asciiTheme="minorHAnsi" w:hAnsiTheme="minorHAnsi" w:cstheme="minorHAnsi"/>
        </w:rPr>
        <w:t>cutive</w:t>
      </w:r>
    </w:p>
    <w:p w14:paraId="7F7C53D3" w14:textId="24C7F983" w:rsidR="00D53E19" w:rsidRDefault="00C72BBE" w:rsidP="008E35F8">
      <w:pPr>
        <w:pStyle w:val="NormalWeb"/>
        <w:spacing w:before="0" w:beforeAutospacing="0" w:after="160" w:afterAutospacing="0"/>
        <w:ind w:left="720" w:hanging="720"/>
        <w:rPr>
          <w:rFonts w:asciiTheme="minorHAnsi" w:hAnsiTheme="minorHAnsi" w:cstheme="minorHAnsi"/>
          <w:color w:val="000000"/>
          <w:lang w:val="en-GB" w:eastAsia="en-GB"/>
        </w:rPr>
      </w:pPr>
      <w:r w:rsidRPr="00D53E19">
        <w:rPr>
          <w:rFonts w:asciiTheme="minorHAnsi" w:hAnsiTheme="minorHAnsi" w:cstheme="minorHAnsi"/>
          <w:bCs/>
          <w:color w:val="000000"/>
          <w:lang w:val="en-GB" w:eastAsia="en-GB"/>
        </w:rPr>
        <w:t xml:space="preserve">12.40 </w:t>
      </w:r>
      <w:r w:rsidR="008E35F8">
        <w:rPr>
          <w:rFonts w:asciiTheme="minorHAnsi" w:hAnsiTheme="minorHAnsi" w:cstheme="minorHAnsi"/>
          <w:bCs/>
          <w:color w:val="000000"/>
          <w:lang w:val="en-GB" w:eastAsia="en-GB"/>
        </w:rPr>
        <w:tab/>
      </w:r>
      <w:r w:rsidR="00E85042" w:rsidRPr="00D53E19">
        <w:rPr>
          <w:rFonts w:asciiTheme="minorHAnsi" w:hAnsiTheme="minorHAnsi" w:cstheme="minorHAnsi"/>
          <w:bCs/>
          <w:color w:val="000000"/>
          <w:lang w:val="en-GB" w:eastAsia="en-GB"/>
        </w:rPr>
        <w:t>Julian Blake</w:t>
      </w:r>
      <w:r w:rsidRPr="00D53E19">
        <w:rPr>
          <w:rFonts w:asciiTheme="minorHAnsi" w:hAnsiTheme="minorHAnsi" w:cstheme="minorHAnsi"/>
          <w:bCs/>
          <w:color w:val="000000"/>
          <w:lang w:val="en-GB" w:eastAsia="en-GB"/>
        </w:rPr>
        <w:t>,</w:t>
      </w:r>
      <w:r w:rsidRPr="00D53E19">
        <w:rPr>
          <w:rFonts w:asciiTheme="minorHAnsi" w:hAnsiTheme="minorHAnsi" w:cstheme="minorHAnsi"/>
          <w:b/>
          <w:bCs/>
          <w:color w:val="000000"/>
          <w:lang w:val="en-GB" w:eastAsia="en-GB"/>
        </w:rPr>
        <w:t xml:space="preserve"> </w:t>
      </w:r>
      <w:r w:rsidR="00E85042" w:rsidRPr="00D53E19">
        <w:rPr>
          <w:rFonts w:asciiTheme="minorHAnsi" w:hAnsiTheme="minorHAnsi" w:cstheme="minorHAnsi"/>
          <w:color w:val="000000"/>
          <w:lang w:val="en-GB" w:eastAsia="en-GB"/>
        </w:rPr>
        <w:t>Partner</w:t>
      </w:r>
      <w:r w:rsidRPr="00D53E19">
        <w:rPr>
          <w:rFonts w:asciiTheme="minorHAnsi" w:hAnsiTheme="minorHAnsi" w:cstheme="minorHAnsi"/>
          <w:color w:val="000000"/>
          <w:lang w:val="en-GB" w:eastAsia="en-GB"/>
        </w:rPr>
        <w:t xml:space="preserve"> and </w:t>
      </w:r>
      <w:r w:rsidR="00E85042" w:rsidRPr="00D53E19">
        <w:rPr>
          <w:rFonts w:asciiTheme="minorHAnsi" w:hAnsiTheme="minorHAnsi" w:cstheme="minorHAnsi"/>
          <w:color w:val="000000"/>
          <w:lang w:val="en-GB" w:eastAsia="en-GB"/>
        </w:rPr>
        <w:t>Joint Head</w:t>
      </w:r>
      <w:r w:rsidRPr="00D53E19">
        <w:rPr>
          <w:rFonts w:asciiTheme="minorHAnsi" w:hAnsiTheme="minorHAnsi" w:cstheme="minorHAnsi"/>
          <w:color w:val="000000"/>
          <w:lang w:val="en-GB" w:eastAsia="en-GB"/>
        </w:rPr>
        <w:t xml:space="preserve"> of Charity &amp; Social Enterprise, B</w:t>
      </w:r>
      <w:r w:rsidR="00E85042" w:rsidRPr="00D53E19">
        <w:rPr>
          <w:rFonts w:asciiTheme="minorHAnsi" w:hAnsiTheme="minorHAnsi" w:cstheme="minorHAnsi"/>
          <w:color w:val="000000"/>
          <w:lang w:val="en-GB" w:eastAsia="en-GB"/>
        </w:rPr>
        <w:t>ates Wells Braithwaite</w:t>
      </w:r>
    </w:p>
    <w:p w14:paraId="4F02EB49" w14:textId="4A5D6A4C" w:rsidR="00C72BBE" w:rsidRPr="00D53E19" w:rsidRDefault="00BC2F12" w:rsidP="00D53E19">
      <w:pPr>
        <w:pStyle w:val="NormalWeb"/>
        <w:spacing w:before="0" w:beforeAutospacing="0" w:after="160" w:afterAutospacing="0"/>
        <w:ind w:left="720"/>
        <w:rPr>
          <w:rFonts w:asciiTheme="minorHAnsi" w:hAnsiTheme="minorHAnsi" w:cstheme="minorHAnsi"/>
          <w:i/>
        </w:rPr>
      </w:pPr>
      <w:r w:rsidRPr="00BC2F12">
        <w:rPr>
          <w:rFonts w:asciiTheme="minorHAnsi" w:hAnsiTheme="minorHAnsi" w:cstheme="minorHAnsi"/>
          <w:i/>
          <w:iCs/>
        </w:rPr>
        <w:t>Legal high-level overview of the roles and responsibilities of leaders and trustees of learning and training providers. On booking, participants will have the chance to shape content. The intention is to look beyond the basic principles of governance</w:t>
      </w:r>
      <w:r>
        <w:rPr>
          <w:rFonts w:asciiTheme="minorHAnsi" w:hAnsiTheme="minorHAnsi" w:cstheme="minorHAnsi"/>
          <w:i/>
          <w:iCs/>
        </w:rPr>
        <w:t>,</w:t>
      </w:r>
      <w:r w:rsidRPr="00BC2F12">
        <w:rPr>
          <w:rFonts w:asciiTheme="minorHAnsi" w:hAnsiTheme="minorHAnsi" w:cstheme="minorHAnsi"/>
          <w:i/>
          <w:iCs/>
        </w:rPr>
        <w:t xml:space="preserve"> and the tendency to highlight risk</w:t>
      </w:r>
      <w:r>
        <w:rPr>
          <w:rFonts w:asciiTheme="minorHAnsi" w:hAnsiTheme="minorHAnsi" w:cstheme="minorHAnsi"/>
          <w:i/>
          <w:iCs/>
        </w:rPr>
        <w:t>,</w:t>
      </w:r>
      <w:r w:rsidRPr="00BC2F12">
        <w:rPr>
          <w:rFonts w:asciiTheme="minorHAnsi" w:hAnsiTheme="minorHAnsi" w:cstheme="minorHAnsi"/>
          <w:i/>
          <w:iCs/>
        </w:rPr>
        <w:t xml:space="preserve"> to a balanced perspective highlighting the proactive aspects of leading a learning provider</w:t>
      </w:r>
      <w:r w:rsidR="00D53E19" w:rsidRPr="00D53E19">
        <w:rPr>
          <w:rFonts w:asciiTheme="minorHAnsi" w:hAnsiTheme="minorHAnsi" w:cstheme="minorHAnsi"/>
          <w:i/>
        </w:rPr>
        <w:t>.</w:t>
      </w:r>
    </w:p>
    <w:p w14:paraId="2E3AE8B7" w14:textId="26BBED0F" w:rsidR="00C72BBE" w:rsidRPr="00D53E19" w:rsidRDefault="00C72BBE" w:rsidP="00C72BBE">
      <w:pPr>
        <w:pStyle w:val="NormalWeb"/>
        <w:spacing w:before="0" w:beforeAutospacing="0" w:after="160" w:afterAutospacing="0"/>
        <w:rPr>
          <w:rFonts w:asciiTheme="minorHAnsi" w:hAnsiTheme="minorHAnsi" w:cstheme="minorHAnsi"/>
        </w:rPr>
      </w:pPr>
      <w:r w:rsidRPr="00D53E19">
        <w:rPr>
          <w:rFonts w:asciiTheme="minorHAnsi" w:hAnsiTheme="minorHAnsi" w:cstheme="minorHAnsi"/>
        </w:rPr>
        <w:t xml:space="preserve">1.40 </w:t>
      </w:r>
      <w:r w:rsidR="008E35F8">
        <w:rPr>
          <w:rFonts w:asciiTheme="minorHAnsi" w:hAnsiTheme="minorHAnsi" w:cstheme="minorHAnsi"/>
        </w:rPr>
        <w:tab/>
      </w:r>
      <w:r w:rsidRPr="00D53E19">
        <w:rPr>
          <w:rFonts w:asciiTheme="minorHAnsi" w:hAnsiTheme="minorHAnsi" w:cstheme="minorHAnsi"/>
        </w:rPr>
        <w:t>Q&amp;A</w:t>
      </w:r>
    </w:p>
    <w:p w14:paraId="61C80D8E" w14:textId="0D08CDBE" w:rsidR="00D53E19" w:rsidRDefault="00C72BBE" w:rsidP="008E35F8">
      <w:pPr>
        <w:pStyle w:val="NormalWeb"/>
        <w:spacing w:before="0" w:beforeAutospacing="0" w:after="160" w:afterAutospacing="0"/>
        <w:ind w:left="720" w:hanging="720"/>
        <w:rPr>
          <w:rFonts w:asciiTheme="minorHAnsi" w:hAnsiTheme="minorHAnsi" w:cstheme="minorHAnsi"/>
        </w:rPr>
      </w:pPr>
      <w:r w:rsidRPr="00D53E19">
        <w:rPr>
          <w:rFonts w:asciiTheme="minorHAnsi" w:hAnsiTheme="minorHAnsi" w:cstheme="minorHAnsi"/>
        </w:rPr>
        <w:t xml:space="preserve">2.00 </w:t>
      </w:r>
      <w:r w:rsidR="008E35F8">
        <w:rPr>
          <w:rFonts w:asciiTheme="minorHAnsi" w:hAnsiTheme="minorHAnsi" w:cstheme="minorHAnsi"/>
        </w:rPr>
        <w:tab/>
      </w:r>
      <w:r w:rsidRPr="00D53E19">
        <w:rPr>
          <w:rFonts w:asciiTheme="minorHAnsi" w:hAnsiTheme="minorHAnsi" w:cstheme="minorHAnsi"/>
        </w:rPr>
        <w:t>Richard Caulfield, Director NW Association of Colleges, and Warren Escadale</w:t>
      </w:r>
    </w:p>
    <w:p w14:paraId="4B58B6D1" w14:textId="73A4FCEB" w:rsidR="00C72BBE" w:rsidRPr="00D53E19" w:rsidRDefault="00D53E19" w:rsidP="00D53E19">
      <w:pPr>
        <w:pStyle w:val="NormalWeb"/>
        <w:spacing w:before="0" w:beforeAutospacing="0" w:after="160" w:afterAutospacing="0"/>
        <w:ind w:left="720"/>
        <w:rPr>
          <w:rFonts w:asciiTheme="minorHAnsi" w:hAnsiTheme="minorHAnsi" w:cstheme="minorHAnsi"/>
          <w:i/>
        </w:rPr>
      </w:pPr>
      <w:r w:rsidRPr="00D53E19">
        <w:rPr>
          <w:rFonts w:asciiTheme="minorHAnsi" w:hAnsiTheme="minorHAnsi" w:cstheme="minorHAnsi"/>
          <w:i/>
        </w:rPr>
        <w:t xml:space="preserve">The VCSE training and learning provider landscape is undergoing yet another fundamental shift. This session will provide an overview of the developing policy context looking in particular at </w:t>
      </w:r>
      <w:r w:rsidR="002C78D6">
        <w:rPr>
          <w:rFonts w:asciiTheme="minorHAnsi" w:hAnsiTheme="minorHAnsi" w:cstheme="minorHAnsi"/>
          <w:i/>
        </w:rPr>
        <w:t xml:space="preserve">the </w:t>
      </w:r>
      <w:r w:rsidRPr="00D53E19">
        <w:rPr>
          <w:rFonts w:asciiTheme="minorHAnsi" w:hAnsiTheme="minorHAnsi" w:cstheme="minorHAnsi"/>
          <w:i/>
        </w:rPr>
        <w:t>challenges and potential opportunities.</w:t>
      </w:r>
    </w:p>
    <w:p w14:paraId="022E87AE" w14:textId="2596EC2A" w:rsidR="00C72BBE" w:rsidRPr="00D53E19" w:rsidRDefault="00D53E19" w:rsidP="00C72BBE">
      <w:pPr>
        <w:pStyle w:val="NormalWeb"/>
        <w:spacing w:before="0" w:beforeAutospacing="0" w:after="160" w:afterAutospacing="0"/>
        <w:rPr>
          <w:rFonts w:asciiTheme="minorHAnsi" w:hAnsiTheme="minorHAnsi" w:cstheme="minorHAnsi"/>
        </w:rPr>
      </w:pPr>
      <w:r w:rsidRPr="00D53E19">
        <w:rPr>
          <w:rFonts w:asciiTheme="minorHAnsi" w:hAnsiTheme="minorHAnsi" w:cstheme="minorHAnsi"/>
        </w:rPr>
        <w:t xml:space="preserve">2.40 </w:t>
      </w:r>
      <w:r w:rsidR="008E35F8">
        <w:rPr>
          <w:rFonts w:asciiTheme="minorHAnsi" w:hAnsiTheme="minorHAnsi" w:cstheme="minorHAnsi"/>
        </w:rPr>
        <w:tab/>
      </w:r>
      <w:r w:rsidRPr="00D53E19">
        <w:rPr>
          <w:rFonts w:asciiTheme="minorHAnsi" w:hAnsiTheme="minorHAnsi" w:cstheme="minorHAnsi"/>
        </w:rPr>
        <w:t>Q&amp;A</w:t>
      </w:r>
    </w:p>
    <w:p w14:paraId="3EF74EF2" w14:textId="6B0462B7" w:rsidR="00B3688F" w:rsidRDefault="00C72BBE" w:rsidP="00C72BBE">
      <w:pPr>
        <w:pStyle w:val="NormalWeb"/>
        <w:spacing w:before="0" w:beforeAutospacing="0" w:after="160" w:afterAutospacing="0"/>
        <w:rPr>
          <w:rFonts w:asciiTheme="minorHAnsi" w:hAnsiTheme="minorHAnsi" w:cstheme="minorHAnsi"/>
          <w:color w:val="000000"/>
          <w:lang w:val="en-GB" w:eastAsia="en-GB"/>
        </w:rPr>
      </w:pPr>
      <w:r w:rsidRPr="00D53E19">
        <w:rPr>
          <w:rFonts w:asciiTheme="minorHAnsi" w:hAnsiTheme="minorHAnsi" w:cstheme="minorHAnsi"/>
        </w:rPr>
        <w:t xml:space="preserve">3.00 </w:t>
      </w:r>
      <w:r w:rsidR="008E35F8">
        <w:rPr>
          <w:rFonts w:asciiTheme="minorHAnsi" w:hAnsiTheme="minorHAnsi" w:cstheme="minorHAnsi"/>
        </w:rPr>
        <w:tab/>
      </w:r>
      <w:r w:rsidRPr="00D53E19">
        <w:rPr>
          <w:rFonts w:asciiTheme="minorHAnsi" w:hAnsiTheme="minorHAnsi" w:cstheme="minorHAnsi"/>
        </w:rPr>
        <w:t>Close</w:t>
      </w:r>
      <w:r w:rsidR="0084190F">
        <w:rPr>
          <w:rFonts w:asciiTheme="minorHAnsi" w:hAnsiTheme="minorHAnsi" w:cstheme="minorHAnsi"/>
        </w:rPr>
        <w:t>/Informal discussions about next steps</w:t>
      </w:r>
    </w:p>
    <w:p w14:paraId="23E33527" w14:textId="6FC3D1BA" w:rsidR="00EB404A" w:rsidRPr="00EB404A" w:rsidRDefault="00FF0B67" w:rsidP="00D80BD2">
      <w:pPr>
        <w:spacing w:before="360"/>
        <w:ind w:left="720"/>
        <w:rPr>
          <w:b/>
          <w:i/>
          <w:sz w:val="36"/>
          <w:szCs w:val="36"/>
          <w:lang w:val="en-GB" w:eastAsia="en-GB"/>
        </w:rPr>
      </w:pPr>
      <w:bookmarkStart w:id="0" w:name="_GoBack"/>
      <w:bookmarkEnd w:id="0"/>
      <w:r w:rsidRPr="00EB404A">
        <w:rPr>
          <w:b/>
          <w:i/>
          <w:sz w:val="36"/>
          <w:szCs w:val="36"/>
          <w:lang w:val="en-GB" w:eastAsia="en-GB"/>
        </w:rPr>
        <w:t xml:space="preserve">To book please go to </w:t>
      </w:r>
      <w:hyperlink r:id="rId6" w:history="1">
        <w:r w:rsidR="00EB404A" w:rsidRPr="00EB404A">
          <w:rPr>
            <w:rStyle w:val="Hyperlink"/>
            <w:b/>
            <w:i/>
            <w:sz w:val="36"/>
            <w:szCs w:val="36"/>
            <w:lang w:val="en-GB" w:eastAsia="en-GB"/>
          </w:rPr>
          <w:t>http://bit.do/LiLLs</w:t>
        </w:r>
      </w:hyperlink>
    </w:p>
    <w:sectPr w:rsidR="00EB404A" w:rsidRPr="00EB404A" w:rsidSect="00EB404A">
      <w:headerReference w:type="default" r:id="rId7"/>
      <w:footerReference w:type="default" r:id="rId8"/>
      <w:pgSz w:w="12240" w:h="15840"/>
      <w:pgMar w:top="1843" w:right="1041" w:bottom="1276"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3571A" w14:textId="77777777" w:rsidR="00691BA7" w:rsidRDefault="00691BA7" w:rsidP="004F755E">
      <w:pPr>
        <w:spacing w:after="0" w:line="240" w:lineRule="auto"/>
      </w:pPr>
      <w:r>
        <w:separator/>
      </w:r>
    </w:p>
  </w:endnote>
  <w:endnote w:type="continuationSeparator" w:id="0">
    <w:p w14:paraId="03CAC1D9" w14:textId="77777777" w:rsidR="00691BA7" w:rsidRDefault="00691BA7" w:rsidP="004F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1"/>
      <w:gridCol w:w="4669"/>
      <w:gridCol w:w="2416"/>
    </w:tblGrid>
    <w:tr w:rsidR="007A3173" w14:paraId="254A9477" w14:textId="77777777" w:rsidTr="00ED5D90">
      <w:tc>
        <w:tcPr>
          <w:tcW w:w="2750" w:type="dxa"/>
        </w:tcPr>
        <w:p w14:paraId="2F9A4A3D" w14:textId="77777777" w:rsidR="008062ED" w:rsidRDefault="008062ED" w:rsidP="008062ED">
          <w:pPr>
            <w:pStyle w:val="Footer"/>
            <w:jc w:val="right"/>
            <w:rPr>
              <w:lang w:val="en-GB"/>
            </w:rPr>
          </w:pPr>
        </w:p>
      </w:tc>
      <w:tc>
        <w:tcPr>
          <w:tcW w:w="4758" w:type="dxa"/>
          <w:vAlign w:val="center"/>
        </w:tcPr>
        <w:p w14:paraId="4D1ED80E" w14:textId="0189DC61" w:rsidR="008062ED" w:rsidRDefault="007A3173" w:rsidP="007A3173">
          <w:pPr>
            <w:pStyle w:val="Footer"/>
            <w:jc w:val="right"/>
            <w:rPr>
              <w:lang w:val="en-GB"/>
            </w:rPr>
          </w:pPr>
          <w:r>
            <w:rPr>
              <w:lang w:val="en-GB"/>
            </w:rPr>
            <w:t>Seminar funded by:</w:t>
          </w:r>
        </w:p>
      </w:tc>
      <w:tc>
        <w:tcPr>
          <w:tcW w:w="2268" w:type="dxa"/>
        </w:tcPr>
        <w:p w14:paraId="33537F62" w14:textId="7098FDE0" w:rsidR="008062ED" w:rsidRDefault="008062ED" w:rsidP="00ED5D90">
          <w:pPr>
            <w:pStyle w:val="Footer"/>
            <w:spacing w:after="120"/>
            <w:rPr>
              <w:lang w:val="en-GB"/>
            </w:rPr>
          </w:pPr>
          <w:r>
            <w:rPr>
              <w:noProof/>
            </w:rPr>
            <w:drawing>
              <wp:anchor distT="0" distB="0" distL="114300" distR="114300" simplePos="0" relativeHeight="251658240" behindDoc="0" locked="0" layoutInCell="1" allowOverlap="1" wp14:anchorId="26FB0745" wp14:editId="32EE45F7">
                <wp:simplePos x="0" y="0"/>
                <wp:positionH relativeFrom="column">
                  <wp:posOffset>-65034</wp:posOffset>
                </wp:positionH>
                <wp:positionV relativeFrom="paragraph">
                  <wp:posOffset>626</wp:posOffset>
                </wp:positionV>
                <wp:extent cx="1397148" cy="665018"/>
                <wp:effectExtent l="0" t="0" r="0" b="1905"/>
                <wp:wrapTopAndBottom/>
                <wp:docPr id="12" name="Picture 12" descr="cid:image002.png@01D28072.616A2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8072.616A28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97148" cy="66501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4EC4602" w14:textId="092DD70D" w:rsidR="00F66EFE" w:rsidRPr="008062ED" w:rsidRDefault="00F66EFE" w:rsidP="008062ED">
    <w:pPr>
      <w:pStyle w:val="Footer"/>
      <w:rPr>
        <w:sz w:val="2"/>
        <w:szCs w:val="2"/>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91C14" w14:textId="77777777" w:rsidR="00691BA7" w:rsidRDefault="00691BA7" w:rsidP="004F755E">
      <w:pPr>
        <w:spacing w:after="0" w:line="240" w:lineRule="auto"/>
      </w:pPr>
      <w:r>
        <w:separator/>
      </w:r>
    </w:p>
  </w:footnote>
  <w:footnote w:type="continuationSeparator" w:id="0">
    <w:p w14:paraId="7FCFA3F6" w14:textId="77777777" w:rsidR="00691BA7" w:rsidRDefault="00691BA7" w:rsidP="004F7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8AFB4" w14:textId="1A274FE0" w:rsidR="007B10A6" w:rsidRPr="00241844" w:rsidRDefault="007B10A6">
    <w:pPr>
      <w:pStyle w:val="Header"/>
      <w:rPr>
        <w:sz w:val="16"/>
        <w:szCs w:val="16"/>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gridCol w:w="3260"/>
      <w:gridCol w:w="3261"/>
    </w:tblGrid>
    <w:tr w:rsidR="00F6336F" w14:paraId="28106224" w14:textId="0FBF68C2" w:rsidTr="007A3173">
      <w:tc>
        <w:tcPr>
          <w:tcW w:w="3260" w:type="dxa"/>
          <w:vAlign w:val="center"/>
        </w:tcPr>
        <w:p w14:paraId="5C07B7BA" w14:textId="712FF287" w:rsidR="00F6336F" w:rsidRDefault="00F6336F" w:rsidP="007B10A6">
          <w:pPr>
            <w:pStyle w:val="Header"/>
            <w:jc w:val="both"/>
            <w:rPr>
              <w:sz w:val="16"/>
              <w:szCs w:val="16"/>
            </w:rPr>
          </w:pPr>
          <w:r w:rsidRPr="00241844">
            <w:rPr>
              <w:noProof/>
              <w:sz w:val="16"/>
              <w:szCs w:val="16"/>
            </w:rPr>
            <w:drawing>
              <wp:inline distT="0" distB="0" distL="0" distR="0" wp14:anchorId="5778210C" wp14:editId="5D846FB5">
                <wp:extent cx="1814944"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SNW_logo_v2.jpg"/>
                        <pic:cNvPicPr/>
                      </pic:nvPicPr>
                      <pic:blipFill>
                        <a:blip r:embed="rId1">
                          <a:extLst>
                            <a:ext uri="{28A0092B-C50C-407E-A947-70E740481C1C}">
                              <a14:useLocalDpi xmlns:a14="http://schemas.microsoft.com/office/drawing/2010/main" val="0"/>
                            </a:ext>
                          </a:extLst>
                        </a:blip>
                        <a:stretch>
                          <a:fillRect/>
                        </a:stretch>
                      </pic:blipFill>
                      <pic:spPr>
                        <a:xfrm>
                          <a:off x="0" y="0"/>
                          <a:ext cx="1968137" cy="330527"/>
                        </a:xfrm>
                        <a:prstGeom prst="rect">
                          <a:avLst/>
                        </a:prstGeom>
                      </pic:spPr>
                    </pic:pic>
                  </a:graphicData>
                </a:graphic>
              </wp:inline>
            </w:drawing>
          </w:r>
        </w:p>
      </w:tc>
      <w:tc>
        <w:tcPr>
          <w:tcW w:w="3260" w:type="dxa"/>
          <w:vAlign w:val="center"/>
        </w:tcPr>
        <w:p w14:paraId="2F204917" w14:textId="6785EEA0" w:rsidR="00F6336F" w:rsidRPr="00F43E45" w:rsidRDefault="00F6336F" w:rsidP="007B10A6">
          <w:pPr>
            <w:pStyle w:val="Header"/>
            <w:jc w:val="center"/>
            <w:rPr>
              <w:sz w:val="24"/>
              <w:szCs w:val="24"/>
            </w:rPr>
          </w:pPr>
          <w:r>
            <w:rPr>
              <w:noProof/>
              <w:sz w:val="24"/>
              <w:szCs w:val="24"/>
            </w:rPr>
            <w:drawing>
              <wp:inline distT="0" distB="0" distL="0" distR="0" wp14:anchorId="18204E8A" wp14:editId="0D4270F3">
                <wp:extent cx="1282536" cy="4044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B logo_For E-use.jpg"/>
                        <pic:cNvPicPr/>
                      </pic:nvPicPr>
                      <pic:blipFill>
                        <a:blip r:embed="rId2">
                          <a:extLst>
                            <a:ext uri="{28A0092B-C50C-407E-A947-70E740481C1C}">
                              <a14:useLocalDpi xmlns:a14="http://schemas.microsoft.com/office/drawing/2010/main" val="0"/>
                            </a:ext>
                          </a:extLst>
                        </a:blip>
                        <a:stretch>
                          <a:fillRect/>
                        </a:stretch>
                      </pic:blipFill>
                      <pic:spPr>
                        <a:xfrm>
                          <a:off x="0" y="0"/>
                          <a:ext cx="1317367" cy="415428"/>
                        </a:xfrm>
                        <a:prstGeom prst="rect">
                          <a:avLst/>
                        </a:prstGeom>
                      </pic:spPr>
                    </pic:pic>
                  </a:graphicData>
                </a:graphic>
              </wp:inline>
            </w:drawing>
          </w:r>
        </w:p>
      </w:tc>
      <w:tc>
        <w:tcPr>
          <w:tcW w:w="3261" w:type="dxa"/>
          <w:vAlign w:val="center"/>
        </w:tcPr>
        <w:p w14:paraId="04A0CE20" w14:textId="13C770E2" w:rsidR="00F6336F" w:rsidRPr="00F43E45" w:rsidRDefault="007A3173" w:rsidP="007B10A6">
          <w:pPr>
            <w:pStyle w:val="Header"/>
            <w:jc w:val="right"/>
            <w:rPr>
              <w:sz w:val="24"/>
              <w:szCs w:val="24"/>
            </w:rPr>
          </w:pPr>
          <w:r>
            <w:rPr>
              <w:noProof/>
            </w:rPr>
            <w:drawing>
              <wp:inline distT="0" distB="0" distL="0" distR="0" wp14:anchorId="7EFB6CCD" wp14:editId="0EECA293">
                <wp:extent cx="1878093" cy="368234"/>
                <wp:effectExtent l="0" t="0" r="0" b="0"/>
                <wp:docPr id="11" name="Picture 11" descr="cid:image003.png@01D2814C.5D4CF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814C.5D4CFD7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084024" cy="408610"/>
                        </a:xfrm>
                        <a:prstGeom prst="rect">
                          <a:avLst/>
                        </a:prstGeom>
                        <a:noFill/>
                        <a:ln>
                          <a:noFill/>
                        </a:ln>
                      </pic:spPr>
                    </pic:pic>
                  </a:graphicData>
                </a:graphic>
              </wp:inline>
            </w:drawing>
          </w:r>
        </w:p>
      </w:tc>
    </w:tr>
  </w:tbl>
  <w:p w14:paraId="44D53BAD" w14:textId="305BD009" w:rsidR="004F755E" w:rsidRPr="00241844" w:rsidRDefault="004F755E">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5E"/>
    <w:rsid w:val="00025F08"/>
    <w:rsid w:val="000A212C"/>
    <w:rsid w:val="001D333A"/>
    <w:rsid w:val="00214FF4"/>
    <w:rsid w:val="00241844"/>
    <w:rsid w:val="00270DB4"/>
    <w:rsid w:val="002B1654"/>
    <w:rsid w:val="002C78D6"/>
    <w:rsid w:val="004E392A"/>
    <w:rsid w:val="004F06EA"/>
    <w:rsid w:val="004F755E"/>
    <w:rsid w:val="00504862"/>
    <w:rsid w:val="005B6ECA"/>
    <w:rsid w:val="00676EB9"/>
    <w:rsid w:val="0069074B"/>
    <w:rsid w:val="00691BA7"/>
    <w:rsid w:val="007016C9"/>
    <w:rsid w:val="00741D77"/>
    <w:rsid w:val="007A0369"/>
    <w:rsid w:val="007A3173"/>
    <w:rsid w:val="007B10A6"/>
    <w:rsid w:val="008062ED"/>
    <w:rsid w:val="0084190F"/>
    <w:rsid w:val="008B7CD8"/>
    <w:rsid w:val="008E35F8"/>
    <w:rsid w:val="009938D7"/>
    <w:rsid w:val="00A8307C"/>
    <w:rsid w:val="00AD74BF"/>
    <w:rsid w:val="00AE0C3D"/>
    <w:rsid w:val="00B26ECE"/>
    <w:rsid w:val="00B3688F"/>
    <w:rsid w:val="00B81C4B"/>
    <w:rsid w:val="00BC2F12"/>
    <w:rsid w:val="00C72BBE"/>
    <w:rsid w:val="00D43B9A"/>
    <w:rsid w:val="00D53E19"/>
    <w:rsid w:val="00D741A4"/>
    <w:rsid w:val="00D80BD2"/>
    <w:rsid w:val="00DA033D"/>
    <w:rsid w:val="00E57D99"/>
    <w:rsid w:val="00E85042"/>
    <w:rsid w:val="00E87147"/>
    <w:rsid w:val="00EB1410"/>
    <w:rsid w:val="00EB404A"/>
    <w:rsid w:val="00ED5D90"/>
    <w:rsid w:val="00F27597"/>
    <w:rsid w:val="00F43E45"/>
    <w:rsid w:val="00F6336F"/>
    <w:rsid w:val="00F66EFE"/>
    <w:rsid w:val="00FD76D2"/>
    <w:rsid w:val="00FF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19261"/>
  <w15:chartTrackingRefBased/>
  <w15:docId w15:val="{852310BD-7201-4FA2-96F3-F884BD66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5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7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55E"/>
  </w:style>
  <w:style w:type="paragraph" w:styleId="Footer">
    <w:name w:val="footer"/>
    <w:basedOn w:val="Normal"/>
    <w:link w:val="FooterChar"/>
    <w:uiPriority w:val="99"/>
    <w:unhideWhenUsed/>
    <w:rsid w:val="004F7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55E"/>
  </w:style>
  <w:style w:type="paragraph" w:styleId="NoSpacing">
    <w:name w:val="No Spacing"/>
    <w:uiPriority w:val="1"/>
    <w:qFormat/>
    <w:rsid w:val="00D741A4"/>
    <w:pPr>
      <w:spacing w:after="0" w:line="240" w:lineRule="auto"/>
    </w:pPr>
  </w:style>
  <w:style w:type="table" w:styleId="TableGrid">
    <w:name w:val="Table Grid"/>
    <w:basedOn w:val="TableNormal"/>
    <w:uiPriority w:val="39"/>
    <w:rsid w:val="007B1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404A"/>
    <w:rPr>
      <w:color w:val="0563C1" w:themeColor="hyperlink"/>
      <w:u w:val="single"/>
    </w:rPr>
  </w:style>
  <w:style w:type="character" w:styleId="FollowedHyperlink">
    <w:name w:val="FollowedHyperlink"/>
    <w:basedOn w:val="DefaultParagraphFont"/>
    <w:uiPriority w:val="99"/>
    <w:semiHidden/>
    <w:unhideWhenUsed/>
    <w:rsid w:val="00EB4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90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do/LiLL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2.png@01D28072.616A28E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cid:image003.png@01D2814C.5D4CFD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5394</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Escadale</dc:creator>
  <cp:keywords/>
  <dc:description/>
  <cp:lastModifiedBy>Warren Escadale</cp:lastModifiedBy>
  <cp:revision>22</cp:revision>
  <dcterms:created xsi:type="dcterms:W3CDTF">2017-02-03T14:43:00Z</dcterms:created>
  <dcterms:modified xsi:type="dcterms:W3CDTF">2017-02-28T16:16:00Z</dcterms:modified>
</cp:coreProperties>
</file>